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F6A3" w14:textId="77777777" w:rsidR="00CA6FD3" w:rsidRDefault="00CA6FD3" w:rsidP="00CA6FD3">
      <w:r w:rsidRPr="00B26CDE">
        <w:rPr>
          <w:rFonts w:ascii="Arial" w:hAnsi="Arial" w:cs="Arial"/>
          <w:b/>
          <w:noProof/>
          <w:u w:val="single"/>
          <w:lang w:eastAsia="en-GB"/>
        </w:rPr>
        <w:drawing>
          <wp:anchor distT="0" distB="0" distL="114300" distR="114300" simplePos="0" relativeHeight="251659264" behindDoc="0" locked="0" layoutInCell="1" allowOverlap="1" wp14:anchorId="52BE0860" wp14:editId="0AFC4FB9">
            <wp:simplePos x="0" y="0"/>
            <wp:positionH relativeFrom="margin">
              <wp:posOffset>2800350</wp:posOffset>
            </wp:positionH>
            <wp:positionV relativeFrom="margin">
              <wp:posOffset>-238760</wp:posOffset>
            </wp:positionV>
            <wp:extent cx="933450" cy="1057275"/>
            <wp:effectExtent l="0" t="0" r="0" b="9525"/>
            <wp:wrapSquare wrapText="bothSides"/>
            <wp:docPr id="1"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1057275"/>
                    </a:xfrm>
                    <a:prstGeom prst="rect">
                      <a:avLst/>
                    </a:prstGeom>
                    <a:noFill/>
                  </pic:spPr>
                </pic:pic>
              </a:graphicData>
            </a:graphic>
            <wp14:sizeRelH relativeFrom="margin">
              <wp14:pctWidth>0</wp14:pctWidth>
            </wp14:sizeRelH>
            <wp14:sizeRelV relativeFrom="margin">
              <wp14:pctHeight>0</wp14:pctHeight>
            </wp14:sizeRelV>
          </wp:anchor>
        </w:drawing>
      </w:r>
    </w:p>
    <w:p w14:paraId="4205770C" w14:textId="77777777" w:rsidR="00CA6FD3" w:rsidRDefault="00CA6FD3" w:rsidP="00CA6FD3">
      <w:pPr>
        <w:tabs>
          <w:tab w:val="left" w:pos="2145"/>
        </w:tabs>
      </w:pPr>
      <w:r>
        <w:tab/>
      </w:r>
    </w:p>
    <w:p w14:paraId="66B4EB29" w14:textId="77777777" w:rsidR="00CA6FD3" w:rsidRDefault="00CA6FD3" w:rsidP="00CA6FD3"/>
    <w:p w14:paraId="5BEA3A5C" w14:textId="77777777" w:rsidR="00CA6FD3" w:rsidRDefault="00CA6FD3" w:rsidP="00CA6FD3">
      <w:pPr>
        <w:jc w:val="center"/>
        <w:rPr>
          <w:rFonts w:ascii="Comic Sans MS" w:hAnsi="Comic Sans MS" w:cs="Arial"/>
          <w:b/>
          <w:bCs/>
          <w:color w:val="7030A0"/>
          <w:sz w:val="28"/>
          <w:szCs w:val="28"/>
        </w:rPr>
      </w:pPr>
    </w:p>
    <w:p w14:paraId="5011D0D5" w14:textId="77777777" w:rsidR="00CA6FD3" w:rsidRDefault="00CA6FD3" w:rsidP="00CA6FD3">
      <w:pPr>
        <w:jc w:val="center"/>
        <w:rPr>
          <w:rFonts w:ascii="Comic Sans MS" w:hAnsi="Comic Sans MS" w:cs="Arial"/>
          <w:b/>
          <w:bCs/>
          <w:color w:val="7030A0"/>
          <w:sz w:val="28"/>
          <w:szCs w:val="28"/>
        </w:rPr>
      </w:pPr>
    </w:p>
    <w:p w14:paraId="45AE8200" w14:textId="0C8B1E30" w:rsidR="00CA6FD3" w:rsidRDefault="00CA6FD3" w:rsidP="00CA6FD3">
      <w:pPr>
        <w:jc w:val="center"/>
        <w:rPr>
          <w:rFonts w:ascii="Comic Sans MS" w:hAnsi="Comic Sans MS" w:cs="Arial"/>
          <w:b/>
          <w:bCs/>
          <w:color w:val="7030A0"/>
          <w:sz w:val="28"/>
          <w:szCs w:val="28"/>
        </w:rPr>
      </w:pPr>
      <w:r>
        <w:rPr>
          <w:rFonts w:ascii="Comic Sans MS" w:hAnsi="Comic Sans MS" w:cs="Arial"/>
          <w:b/>
          <w:bCs/>
          <w:color w:val="7030A0"/>
          <w:sz w:val="28"/>
          <w:szCs w:val="28"/>
        </w:rPr>
        <w:t>Beaumont Community Preschool &amp; Childcare Groups</w:t>
      </w:r>
    </w:p>
    <w:p w14:paraId="54EC4DF6" w14:textId="77777777" w:rsidR="00CA6FD3" w:rsidRDefault="00CA6FD3" w:rsidP="00085A01">
      <w:pPr>
        <w:spacing w:before="120" w:after="120" w:line="360" w:lineRule="auto"/>
        <w:rPr>
          <w:rFonts w:ascii="Arial" w:hAnsi="Arial" w:cs="Arial"/>
          <w:b/>
          <w:sz w:val="28"/>
          <w:szCs w:val="28"/>
        </w:rPr>
      </w:pPr>
    </w:p>
    <w:p w14:paraId="5AEABF6A" w14:textId="6278DEA8" w:rsidR="004673C3" w:rsidRPr="009946A6" w:rsidRDefault="003C7A01" w:rsidP="00085A01">
      <w:pPr>
        <w:spacing w:before="120" w:after="120" w:line="360" w:lineRule="auto"/>
        <w:rPr>
          <w:rFonts w:ascii="Arial" w:hAnsi="Arial" w:cs="Arial"/>
          <w:b/>
          <w:sz w:val="28"/>
          <w:szCs w:val="28"/>
        </w:rPr>
      </w:pPr>
      <w:r>
        <w:rPr>
          <w:rFonts w:ascii="Arial" w:hAnsi="Arial" w:cs="Arial"/>
          <w:b/>
          <w:sz w:val="28"/>
          <w:szCs w:val="28"/>
        </w:rPr>
        <w:t xml:space="preserve">Children’s </w:t>
      </w:r>
      <w:r w:rsidR="004673C3" w:rsidRPr="009946A6">
        <w:rPr>
          <w:rFonts w:ascii="Arial" w:hAnsi="Arial" w:cs="Arial"/>
          <w:b/>
          <w:sz w:val="28"/>
          <w:szCs w:val="28"/>
        </w:rPr>
        <w:t>Absence</w:t>
      </w:r>
      <w:r>
        <w:rPr>
          <w:rFonts w:ascii="Arial" w:hAnsi="Arial" w:cs="Arial"/>
          <w:b/>
          <w:sz w:val="28"/>
          <w:szCs w:val="28"/>
        </w:rPr>
        <w:t>s</w:t>
      </w:r>
      <w:r w:rsidR="00B854AC" w:rsidRPr="009946A6">
        <w:rPr>
          <w:rFonts w:ascii="Arial" w:hAnsi="Arial" w:cs="Arial"/>
          <w:b/>
          <w:sz w:val="28"/>
          <w:szCs w:val="28"/>
        </w:rPr>
        <w:t xml:space="preserve"> </w:t>
      </w:r>
    </w:p>
    <w:p w14:paraId="524CBCBA" w14:textId="77777777" w:rsidR="00C22E7F" w:rsidRPr="00C22E7F" w:rsidRDefault="00C22E7F" w:rsidP="00C22E7F">
      <w:pPr>
        <w:spacing w:before="120" w:after="120" w:line="360" w:lineRule="auto"/>
        <w:rPr>
          <w:rFonts w:ascii="Arial" w:hAnsi="Arial" w:cs="Arial"/>
          <w:sz w:val="22"/>
          <w:szCs w:val="22"/>
        </w:rPr>
      </w:pPr>
      <w:r w:rsidRPr="00C22E7F">
        <w:rPr>
          <w:rFonts w:ascii="Arial" w:hAnsi="Arial" w:cs="Arial"/>
          <w:sz w:val="22"/>
          <w:szCs w:val="22"/>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64F0FD3D" w14:textId="77777777" w:rsidR="00C22E7F" w:rsidRPr="00C22E7F" w:rsidRDefault="00C22E7F" w:rsidP="00C22E7F">
      <w:pPr>
        <w:spacing w:before="120" w:after="120" w:line="360" w:lineRule="auto"/>
        <w:rPr>
          <w:rFonts w:ascii="Arial" w:hAnsi="Arial" w:cs="Arial"/>
          <w:sz w:val="22"/>
          <w:szCs w:val="22"/>
        </w:rPr>
      </w:pPr>
      <w:r w:rsidRPr="00C22E7F">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0C300CEB"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If a child who normally attends fails to arrive and no contact has been received from their parents/carers, or if the child is absent for a prolonged period of time the designated safeguarding lead, takes immediate action to contact them to seek an explanation for the absence and be assured that the child is safe and well.</w:t>
      </w:r>
    </w:p>
    <w:p w14:paraId="2A6C3B3C"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 xml:space="preserve">Attempts to contact the child’s parents/carers or other named carers continue throughout the day on the first day of absence. </w:t>
      </w:r>
    </w:p>
    <w:p w14:paraId="1529388D"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If no contact is made with the parents/carers and there is no means to verify the reason for the child’s absence i.e. through a named contact on the child’s registration form, this is recorded as an unexplained absence on the child’s personal file</w:t>
      </w:r>
      <w:r w:rsidRPr="00C22E7F">
        <w:rPr>
          <w:rFonts w:ascii="Arial" w:hAnsi="Arial" w:cs="Arial"/>
          <w:b/>
          <w:sz w:val="22"/>
          <w:szCs w:val="22"/>
        </w:rPr>
        <w:t xml:space="preserve"> </w:t>
      </w:r>
      <w:r w:rsidRPr="00C22E7F">
        <w:rPr>
          <w:rFonts w:ascii="Arial" w:hAnsi="Arial" w:cs="Arial"/>
          <w:sz w:val="22"/>
          <w:szCs w:val="22"/>
        </w:rPr>
        <w:t xml:space="preserve">and is followed up by the manager each day until contact is made. </w:t>
      </w:r>
    </w:p>
    <w:p w14:paraId="696B4533"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If contact has not been made, and we have any reason for concern about a child’s wellbeing and welfare, children’s services will be contacted for advice about making a referral. Other relevant services may be contacted as per LSP procedures.</w:t>
      </w:r>
    </w:p>
    <w:p w14:paraId="534A9669"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All absences are recorded on the child’s personal file with the reason given for the absence, the expected duration and any follow up action taken or required with timescales.</w:t>
      </w:r>
    </w:p>
    <w:p w14:paraId="6F790EA9"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12346567"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lastRenderedPageBreak/>
        <w:t>Absence records are retained for at least three years, or until the next Ofsted inspection following a cohort of children moving on to school.</w:t>
      </w:r>
    </w:p>
    <w:p w14:paraId="7F22EB91" w14:textId="77777777" w:rsidR="00C22E7F" w:rsidRPr="00C22E7F" w:rsidRDefault="00C22E7F" w:rsidP="00C22E7F">
      <w:pPr>
        <w:spacing w:before="120" w:after="120" w:line="360" w:lineRule="auto"/>
        <w:rPr>
          <w:rFonts w:ascii="Arial" w:hAnsi="Arial" w:cs="Arial"/>
          <w:b/>
          <w:bCs/>
          <w:sz w:val="22"/>
          <w:szCs w:val="22"/>
        </w:rPr>
      </w:pPr>
      <w:r w:rsidRPr="00C22E7F">
        <w:rPr>
          <w:rFonts w:ascii="Arial" w:hAnsi="Arial" w:cs="Arial"/>
          <w:sz w:val="22"/>
          <w:szCs w:val="22"/>
        </w:rPr>
        <w:t>If at any time further information becomes known that gives cause for concern, procedure</w:t>
      </w:r>
      <w:bookmarkStart w:id="0" w:name="_Hlk77146521"/>
      <w:r w:rsidRPr="00C22E7F">
        <w:rPr>
          <w:rFonts w:ascii="Arial" w:hAnsi="Arial" w:cs="Arial"/>
          <w:sz w:val="22"/>
          <w:szCs w:val="22"/>
        </w:rPr>
        <w:t xml:space="preserve"> 06.1 Responding to safeguarding or child protection concerns</w:t>
      </w:r>
      <w:bookmarkEnd w:id="0"/>
      <w:r w:rsidRPr="00C22E7F">
        <w:rPr>
          <w:rFonts w:ascii="Arial" w:hAnsi="Arial" w:cs="Arial"/>
          <w:b/>
          <w:bCs/>
          <w:sz w:val="22"/>
          <w:szCs w:val="22"/>
        </w:rPr>
        <w:t xml:space="preserve"> </w:t>
      </w:r>
      <w:r w:rsidRPr="00C22E7F">
        <w:rPr>
          <w:rFonts w:ascii="Arial" w:hAnsi="Arial" w:cs="Arial"/>
          <w:sz w:val="22"/>
          <w:szCs w:val="22"/>
        </w:rPr>
        <w:t>is immediately followed.</w:t>
      </w:r>
    </w:p>
    <w:p w14:paraId="79B420FE" w14:textId="77777777" w:rsidR="00C22E7F" w:rsidRPr="00C22E7F" w:rsidRDefault="00C22E7F" w:rsidP="00C22E7F">
      <w:pPr>
        <w:spacing w:before="120" w:after="120" w:line="360" w:lineRule="auto"/>
        <w:rPr>
          <w:rFonts w:ascii="Arial" w:hAnsi="Arial" w:cs="Arial"/>
          <w:b/>
          <w:sz w:val="22"/>
          <w:szCs w:val="22"/>
        </w:rPr>
      </w:pPr>
      <w:r w:rsidRPr="00C22E7F">
        <w:rPr>
          <w:rFonts w:ascii="Arial" w:hAnsi="Arial" w:cs="Arial"/>
          <w:b/>
          <w:bCs/>
          <w:sz w:val="22"/>
          <w:szCs w:val="22"/>
        </w:rPr>
        <w:t>Safeguarding vulnerable children</w:t>
      </w:r>
    </w:p>
    <w:p w14:paraId="0E62B247" w14:textId="77777777" w:rsidR="00C22E7F" w:rsidRPr="00C22E7F" w:rsidRDefault="00C22E7F" w:rsidP="00C22E7F">
      <w:pPr>
        <w:numPr>
          <w:ilvl w:val="0"/>
          <w:numId w:val="92"/>
        </w:numPr>
        <w:spacing w:before="120" w:after="120" w:line="360" w:lineRule="auto"/>
        <w:rPr>
          <w:rFonts w:ascii="Arial" w:hAnsi="Arial" w:cs="Arial"/>
          <w:sz w:val="22"/>
          <w:szCs w:val="22"/>
        </w:rPr>
      </w:pPr>
      <w:r w:rsidRPr="00C22E7F">
        <w:rPr>
          <w:rFonts w:ascii="Arial" w:hAnsi="Arial" w:cs="Arial"/>
          <w:sz w:val="22"/>
          <w:szCs w:val="22"/>
        </w:rPr>
        <w:t>The designated safeguarding lead or key person attempts to contact the parents/carers to establish why the child is absent. If contact is made and a valid reason given, the information is recorded in the child’s file.</w:t>
      </w:r>
    </w:p>
    <w:p w14:paraId="7B5E06F6" w14:textId="77777777" w:rsidR="00C22E7F" w:rsidRPr="00C22E7F" w:rsidRDefault="00C22E7F" w:rsidP="00C22E7F">
      <w:pPr>
        <w:numPr>
          <w:ilvl w:val="0"/>
          <w:numId w:val="92"/>
        </w:numPr>
        <w:spacing w:before="120" w:after="120" w:line="360" w:lineRule="auto"/>
        <w:rPr>
          <w:rFonts w:ascii="Arial" w:hAnsi="Arial" w:cs="Arial"/>
          <w:sz w:val="22"/>
          <w:szCs w:val="22"/>
        </w:rPr>
      </w:pPr>
      <w:r w:rsidRPr="00C22E7F">
        <w:rPr>
          <w:rFonts w:ascii="Arial" w:hAnsi="Arial" w:cs="Arial"/>
          <w:sz w:val="22"/>
          <w:szCs w:val="22"/>
        </w:rPr>
        <w:t>Any relevant professionals involved with the child are informed, e.g. social worker/family support worker.</w:t>
      </w:r>
    </w:p>
    <w:p w14:paraId="613DFBE8" w14:textId="77777777" w:rsidR="00C22E7F" w:rsidRPr="00C22E7F" w:rsidRDefault="00C22E7F" w:rsidP="00C22E7F">
      <w:pPr>
        <w:numPr>
          <w:ilvl w:val="0"/>
          <w:numId w:val="92"/>
        </w:numPr>
        <w:spacing w:before="120" w:after="120" w:line="360" w:lineRule="auto"/>
        <w:rPr>
          <w:rFonts w:ascii="Arial" w:hAnsi="Arial" w:cs="Arial"/>
          <w:sz w:val="22"/>
          <w:szCs w:val="22"/>
        </w:rPr>
      </w:pPr>
      <w:r w:rsidRPr="00C22E7F">
        <w:rPr>
          <w:rFonts w:ascii="Arial" w:hAnsi="Arial" w:cs="Arial"/>
          <w:sz w:val="22"/>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21F5ECE4" w14:textId="77777777" w:rsidR="00C22E7F" w:rsidRPr="00C22E7F" w:rsidRDefault="00C22E7F" w:rsidP="00C22E7F">
      <w:pPr>
        <w:numPr>
          <w:ilvl w:val="0"/>
          <w:numId w:val="92"/>
        </w:numPr>
        <w:spacing w:before="120" w:after="120" w:line="360" w:lineRule="auto"/>
        <w:rPr>
          <w:rFonts w:ascii="Arial" w:hAnsi="Arial" w:cs="Arial"/>
          <w:sz w:val="22"/>
          <w:szCs w:val="22"/>
        </w:rPr>
      </w:pPr>
      <w:r w:rsidRPr="00C22E7F">
        <w:rPr>
          <w:rFonts w:ascii="Arial" w:hAnsi="Arial" w:cs="Arial"/>
          <w:sz w:val="22"/>
          <w:szCs w:val="22"/>
        </w:rPr>
        <w:t>If the child has current involvement with social care, the social worker is notified on the day of the unexplained absence.</w:t>
      </w:r>
    </w:p>
    <w:p w14:paraId="728DB919" w14:textId="77777777" w:rsidR="00C22E7F" w:rsidRPr="00C22E7F" w:rsidRDefault="00C22E7F" w:rsidP="00C22E7F">
      <w:pPr>
        <w:numPr>
          <w:ilvl w:val="0"/>
          <w:numId w:val="92"/>
        </w:numPr>
        <w:spacing w:before="120" w:after="120" w:line="360" w:lineRule="auto"/>
        <w:rPr>
          <w:rFonts w:ascii="Arial" w:hAnsi="Arial" w:cs="Arial"/>
          <w:sz w:val="22"/>
          <w:szCs w:val="22"/>
        </w:rPr>
      </w:pPr>
      <w:r w:rsidRPr="00C22E7F">
        <w:rPr>
          <w:rFonts w:ascii="Arial" w:hAnsi="Arial" w:cs="Arial"/>
          <w:sz w:val="22"/>
          <w:szCs w:val="22"/>
        </w:rPr>
        <w:t>If at any time information becomes known that gives cause for concern, 06 Safeguarding children, young people and vulnerable adults procedures are followed immediately.</w:t>
      </w:r>
    </w:p>
    <w:p w14:paraId="4202DEDB" w14:textId="77777777" w:rsidR="00C22E7F" w:rsidRPr="00C22E7F" w:rsidRDefault="00C22E7F" w:rsidP="00C22E7F">
      <w:pPr>
        <w:spacing w:before="120" w:after="120" w:line="360" w:lineRule="auto"/>
        <w:rPr>
          <w:rFonts w:ascii="Arial" w:hAnsi="Arial" w:cs="Arial"/>
          <w:b/>
          <w:sz w:val="22"/>
          <w:szCs w:val="22"/>
        </w:rPr>
      </w:pPr>
      <w:r w:rsidRPr="00C22E7F">
        <w:rPr>
          <w:rFonts w:ascii="Arial" w:hAnsi="Arial" w:cs="Arial"/>
          <w:b/>
          <w:sz w:val="22"/>
          <w:szCs w:val="22"/>
        </w:rPr>
        <w:t>Safeguarding</w:t>
      </w:r>
    </w:p>
    <w:p w14:paraId="032C4B42" w14:textId="77777777" w:rsidR="00C22E7F" w:rsidRPr="00C22E7F" w:rsidRDefault="00C22E7F" w:rsidP="00C22E7F">
      <w:pPr>
        <w:numPr>
          <w:ilvl w:val="0"/>
          <w:numId w:val="91"/>
        </w:numPr>
        <w:spacing w:before="120" w:after="120" w:line="360" w:lineRule="auto"/>
        <w:rPr>
          <w:rFonts w:ascii="Arial" w:hAnsi="Arial" w:cs="Arial"/>
          <w:sz w:val="22"/>
          <w:szCs w:val="22"/>
        </w:rPr>
      </w:pPr>
      <w:r w:rsidRPr="00C22E7F">
        <w:rPr>
          <w:rFonts w:ascii="Arial" w:hAnsi="Arial" w:cs="Arial"/>
          <w:sz w:val="22"/>
          <w:szCs w:val="22"/>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14:paraId="554FD255" w14:textId="77777777" w:rsidR="00C22E7F" w:rsidRPr="00C22E7F" w:rsidRDefault="00C22E7F" w:rsidP="00C22E7F">
      <w:pPr>
        <w:numPr>
          <w:ilvl w:val="0"/>
          <w:numId w:val="93"/>
        </w:numPr>
        <w:spacing w:before="120" w:after="120" w:line="360" w:lineRule="auto"/>
        <w:rPr>
          <w:rFonts w:ascii="Arial" w:hAnsi="Arial" w:cs="Arial"/>
          <w:sz w:val="22"/>
          <w:szCs w:val="22"/>
        </w:rPr>
      </w:pPr>
      <w:r w:rsidRPr="00C22E7F">
        <w:rPr>
          <w:rFonts w:ascii="Arial" w:hAnsi="Arial" w:cs="Arial"/>
          <w:sz w:val="22"/>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7244D8ED" w14:textId="77777777" w:rsidR="00C22E7F" w:rsidRPr="00C22E7F" w:rsidRDefault="00C22E7F" w:rsidP="00C22E7F">
      <w:pPr>
        <w:spacing w:before="120" w:after="120" w:line="360" w:lineRule="auto"/>
        <w:rPr>
          <w:rFonts w:ascii="Arial" w:hAnsi="Arial" w:cs="Arial"/>
          <w:b/>
          <w:sz w:val="22"/>
          <w:szCs w:val="22"/>
        </w:rPr>
      </w:pPr>
      <w:r w:rsidRPr="00C22E7F">
        <w:rPr>
          <w:rFonts w:ascii="Arial" w:hAnsi="Arial" w:cs="Arial"/>
          <w:b/>
          <w:sz w:val="22"/>
          <w:szCs w:val="22"/>
        </w:rPr>
        <w:t>Poor/irregular attendance</w:t>
      </w:r>
    </w:p>
    <w:p w14:paraId="5642E8F8" w14:textId="77777777" w:rsidR="00C22E7F" w:rsidRPr="00C22E7F" w:rsidRDefault="00C22E7F" w:rsidP="00C22E7F">
      <w:pPr>
        <w:spacing w:before="120" w:after="120" w:line="360" w:lineRule="auto"/>
        <w:rPr>
          <w:rFonts w:ascii="Arial" w:hAnsi="Arial" w:cs="Arial"/>
          <w:sz w:val="22"/>
          <w:szCs w:val="22"/>
        </w:rPr>
      </w:pPr>
      <w:r w:rsidRPr="00C22E7F">
        <w:rPr>
          <w:rFonts w:ascii="Arial" w:hAnsi="Arial" w:cs="Arial"/>
          <w:sz w:val="22"/>
          <w:szCs w:val="22"/>
        </w:rPr>
        <w:t xml:space="preserve">Whilst attendance at an early </w:t>
      </w:r>
      <w:bookmarkStart w:id="1" w:name="_Int_LFSE9S32"/>
      <w:r w:rsidRPr="00C22E7F">
        <w:rPr>
          <w:rFonts w:ascii="Arial" w:hAnsi="Arial" w:cs="Arial"/>
          <w:sz w:val="22"/>
          <w:szCs w:val="22"/>
        </w:rPr>
        <w:t>years</w:t>
      </w:r>
      <w:bookmarkEnd w:id="1"/>
      <w:r w:rsidRPr="00C22E7F">
        <w:rPr>
          <w:rFonts w:ascii="Arial" w:hAnsi="Arial" w:cs="Arial"/>
          <w:sz w:val="22"/>
          <w:szCs w:val="22"/>
        </w:rPr>
        <w:t xml:space="preserve"> setting is not mandatory, regular poor attendance may be indicative of safeguarding and welfare concerns that should be followed up. </w:t>
      </w:r>
    </w:p>
    <w:p w14:paraId="5FF04915" w14:textId="77777777" w:rsidR="00C22E7F" w:rsidRPr="00C22E7F" w:rsidRDefault="00C22E7F" w:rsidP="00C22E7F">
      <w:pPr>
        <w:numPr>
          <w:ilvl w:val="0"/>
          <w:numId w:val="94"/>
        </w:numPr>
        <w:spacing w:before="120" w:after="120" w:line="360" w:lineRule="auto"/>
        <w:rPr>
          <w:rFonts w:ascii="Arial" w:hAnsi="Arial" w:cs="Arial"/>
          <w:sz w:val="22"/>
          <w:szCs w:val="22"/>
        </w:rPr>
      </w:pPr>
      <w:r w:rsidRPr="00C22E7F">
        <w:rPr>
          <w:rFonts w:ascii="Arial" w:hAnsi="Arial" w:cs="Arial"/>
          <w:sz w:val="22"/>
          <w:szCs w:val="22"/>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2030A66A" w14:textId="77777777" w:rsidR="00C22E7F" w:rsidRPr="00C22E7F" w:rsidRDefault="00C22E7F" w:rsidP="00C22E7F">
      <w:pPr>
        <w:numPr>
          <w:ilvl w:val="0"/>
          <w:numId w:val="93"/>
        </w:numPr>
        <w:spacing w:before="120" w:after="120" w:line="360" w:lineRule="auto"/>
        <w:rPr>
          <w:rFonts w:ascii="Arial" w:hAnsi="Arial" w:cs="Arial"/>
          <w:sz w:val="22"/>
          <w:szCs w:val="22"/>
        </w:rPr>
      </w:pPr>
      <w:r w:rsidRPr="00C22E7F">
        <w:rPr>
          <w:rFonts w:ascii="Arial" w:hAnsi="Arial" w:cs="Arial"/>
          <w:sz w:val="22"/>
          <w:szCs w:val="22"/>
        </w:rPr>
        <w:t>If poor attendance continues and strategies to support are not having an impact, the setting manager must review the situation and decide if a referral to a multi-agency team is appropriate.</w:t>
      </w:r>
    </w:p>
    <w:p w14:paraId="056CE6AF" w14:textId="77777777" w:rsidR="00C22E7F" w:rsidRPr="00C22E7F" w:rsidRDefault="00C22E7F" w:rsidP="00C22E7F">
      <w:pPr>
        <w:numPr>
          <w:ilvl w:val="0"/>
          <w:numId w:val="93"/>
        </w:numPr>
        <w:spacing w:before="120" w:after="120" w:line="360" w:lineRule="auto"/>
        <w:rPr>
          <w:rFonts w:ascii="Arial" w:hAnsi="Arial" w:cs="Arial"/>
          <w:sz w:val="22"/>
          <w:szCs w:val="22"/>
        </w:rPr>
      </w:pPr>
      <w:r w:rsidRPr="00C22E7F">
        <w:rPr>
          <w:rFonts w:ascii="Arial" w:hAnsi="Arial" w:cs="Arial"/>
          <w:sz w:val="22"/>
          <w:szCs w:val="22"/>
        </w:rPr>
        <w:lastRenderedPageBreak/>
        <w:t xml:space="preserve">Where there are already safeguarding and welfare concerns about a child or a child protection plan is in place, poor/irregular attendance at the setting is reported to the Social Care worker without delay. </w:t>
      </w:r>
    </w:p>
    <w:p w14:paraId="3DDA8790" w14:textId="77777777" w:rsidR="00C22E7F" w:rsidRPr="00C22E7F" w:rsidRDefault="00C22E7F" w:rsidP="00C22E7F">
      <w:pPr>
        <w:spacing w:before="120" w:after="120" w:line="360" w:lineRule="auto"/>
        <w:rPr>
          <w:rFonts w:ascii="Arial" w:hAnsi="Arial" w:cs="Arial"/>
          <w:sz w:val="22"/>
          <w:szCs w:val="22"/>
        </w:rPr>
      </w:pPr>
      <w:r w:rsidRPr="00C22E7F">
        <w:rPr>
          <w:rFonts w:ascii="Arial" w:hAnsi="Arial" w:cs="Arial"/>
          <w:sz w:val="22"/>
          <w:szCs w:val="22"/>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tbl>
      <w:tblPr>
        <w:tblpPr w:leftFromText="180" w:rightFromText="180" w:vertAnchor="text" w:horzAnchor="margin" w:tblpY="408"/>
        <w:tblW w:w="5000" w:type="pct"/>
        <w:tblLook w:val="01E0" w:firstRow="1" w:lastRow="1" w:firstColumn="1" w:lastColumn="1" w:noHBand="0" w:noVBand="0"/>
      </w:tblPr>
      <w:tblGrid>
        <w:gridCol w:w="4816"/>
        <w:gridCol w:w="3458"/>
        <w:gridCol w:w="2192"/>
      </w:tblGrid>
      <w:tr w:rsidR="00CA6FD3" w14:paraId="513EC50D" w14:textId="77777777" w:rsidTr="004808D9">
        <w:tc>
          <w:tcPr>
            <w:tcW w:w="2301" w:type="pct"/>
            <w:hideMark/>
          </w:tcPr>
          <w:p w14:paraId="50CC3E5F"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This policy was adopted at a meeting of</w:t>
            </w:r>
          </w:p>
        </w:tc>
        <w:tc>
          <w:tcPr>
            <w:tcW w:w="1652" w:type="pct"/>
            <w:tcBorders>
              <w:top w:val="nil"/>
              <w:left w:val="nil"/>
              <w:bottom w:val="single" w:sz="4" w:space="0" w:color="7030A0"/>
              <w:right w:val="nil"/>
            </w:tcBorders>
            <w:hideMark/>
          </w:tcPr>
          <w:p w14:paraId="468195D5" w14:textId="77777777" w:rsidR="00CA6FD3" w:rsidRPr="00DC34D2" w:rsidRDefault="00CA6FD3" w:rsidP="004808D9">
            <w:pPr>
              <w:spacing w:line="360" w:lineRule="auto"/>
              <w:rPr>
                <w:rFonts w:ascii="Arial" w:hAnsi="Arial" w:cs="Arial"/>
                <w:b/>
                <w:sz w:val="20"/>
                <w:szCs w:val="20"/>
              </w:rPr>
            </w:pPr>
            <w:r w:rsidRPr="00DC34D2">
              <w:rPr>
                <w:rFonts w:ascii="Arial" w:hAnsi="Arial" w:cs="Arial"/>
                <w:b/>
                <w:sz w:val="20"/>
                <w:szCs w:val="20"/>
              </w:rPr>
              <w:t>Beaumont Community Preschool &amp; Childcare Groups</w:t>
            </w:r>
          </w:p>
        </w:tc>
        <w:tc>
          <w:tcPr>
            <w:tcW w:w="1047" w:type="pct"/>
            <w:hideMark/>
          </w:tcPr>
          <w:p w14:paraId="745DE59E" w14:textId="77777777" w:rsidR="00CA6FD3" w:rsidRPr="00DC34D2" w:rsidRDefault="00CA6FD3" w:rsidP="004808D9">
            <w:pPr>
              <w:rPr>
                <w:rFonts w:ascii="Calibri" w:eastAsia="Calibri" w:hAnsi="Calibri"/>
                <w:sz w:val="20"/>
                <w:szCs w:val="20"/>
                <w:lang w:eastAsia="en-GB"/>
              </w:rPr>
            </w:pPr>
          </w:p>
        </w:tc>
      </w:tr>
      <w:tr w:rsidR="00CA6FD3" w14:paraId="02D77FBF" w14:textId="77777777" w:rsidTr="004808D9">
        <w:tc>
          <w:tcPr>
            <w:tcW w:w="2301" w:type="pct"/>
            <w:hideMark/>
          </w:tcPr>
          <w:p w14:paraId="701A57DD"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Held on</w:t>
            </w:r>
          </w:p>
        </w:tc>
        <w:tc>
          <w:tcPr>
            <w:tcW w:w="1652" w:type="pct"/>
            <w:tcBorders>
              <w:top w:val="single" w:sz="4" w:space="0" w:color="7030A0"/>
              <w:left w:val="nil"/>
              <w:bottom w:val="single" w:sz="4" w:space="0" w:color="7030A0"/>
              <w:right w:val="nil"/>
            </w:tcBorders>
          </w:tcPr>
          <w:p w14:paraId="3DA9B8D0" w14:textId="77777777" w:rsidR="00CA6FD3" w:rsidRPr="00DC34D2" w:rsidRDefault="00CA6FD3" w:rsidP="004808D9">
            <w:pPr>
              <w:spacing w:line="360" w:lineRule="auto"/>
              <w:rPr>
                <w:rFonts w:ascii="Arial" w:hAnsi="Arial" w:cs="Arial"/>
                <w:sz w:val="20"/>
                <w:szCs w:val="20"/>
              </w:rPr>
            </w:pPr>
          </w:p>
        </w:tc>
        <w:tc>
          <w:tcPr>
            <w:tcW w:w="1047" w:type="pct"/>
            <w:hideMark/>
          </w:tcPr>
          <w:p w14:paraId="3323E366"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(date)</w:t>
            </w:r>
          </w:p>
        </w:tc>
      </w:tr>
      <w:tr w:rsidR="00CA6FD3" w14:paraId="5290F22C" w14:textId="77777777" w:rsidTr="004808D9">
        <w:tc>
          <w:tcPr>
            <w:tcW w:w="2301" w:type="pct"/>
            <w:hideMark/>
          </w:tcPr>
          <w:p w14:paraId="204C8500"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Date to be reviewed</w:t>
            </w:r>
          </w:p>
        </w:tc>
        <w:tc>
          <w:tcPr>
            <w:tcW w:w="1652" w:type="pct"/>
            <w:tcBorders>
              <w:top w:val="single" w:sz="4" w:space="0" w:color="7030A0"/>
              <w:left w:val="nil"/>
              <w:bottom w:val="single" w:sz="4" w:space="0" w:color="7030A0"/>
              <w:right w:val="nil"/>
            </w:tcBorders>
          </w:tcPr>
          <w:p w14:paraId="329716D6" w14:textId="77777777" w:rsidR="00CA6FD3" w:rsidRPr="00DC34D2" w:rsidRDefault="00CA6FD3" w:rsidP="004808D9">
            <w:pPr>
              <w:spacing w:line="360" w:lineRule="auto"/>
              <w:rPr>
                <w:rFonts w:ascii="Arial" w:hAnsi="Arial" w:cs="Arial"/>
                <w:sz w:val="20"/>
                <w:szCs w:val="20"/>
              </w:rPr>
            </w:pPr>
          </w:p>
        </w:tc>
        <w:tc>
          <w:tcPr>
            <w:tcW w:w="1047" w:type="pct"/>
            <w:hideMark/>
          </w:tcPr>
          <w:p w14:paraId="6953E54F"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(date)</w:t>
            </w:r>
          </w:p>
        </w:tc>
      </w:tr>
      <w:tr w:rsidR="00CA6FD3" w14:paraId="5C21004F" w14:textId="77777777" w:rsidTr="004808D9">
        <w:tc>
          <w:tcPr>
            <w:tcW w:w="2301" w:type="pct"/>
            <w:hideMark/>
          </w:tcPr>
          <w:p w14:paraId="1DA76019"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Signed on behalf of the management committee</w:t>
            </w:r>
          </w:p>
        </w:tc>
        <w:tc>
          <w:tcPr>
            <w:tcW w:w="2699" w:type="pct"/>
            <w:gridSpan w:val="2"/>
            <w:tcBorders>
              <w:top w:val="nil"/>
              <w:left w:val="nil"/>
              <w:bottom w:val="single" w:sz="4" w:space="0" w:color="7030A0"/>
              <w:right w:val="nil"/>
            </w:tcBorders>
          </w:tcPr>
          <w:p w14:paraId="391E57F4" w14:textId="77777777" w:rsidR="00CA6FD3" w:rsidRPr="00DC34D2" w:rsidRDefault="00CA6FD3" w:rsidP="004808D9">
            <w:pPr>
              <w:spacing w:line="360" w:lineRule="auto"/>
              <w:rPr>
                <w:rFonts w:ascii="Arial" w:hAnsi="Arial" w:cs="Arial"/>
                <w:sz w:val="20"/>
                <w:szCs w:val="20"/>
              </w:rPr>
            </w:pPr>
          </w:p>
        </w:tc>
      </w:tr>
      <w:tr w:rsidR="00CA6FD3" w14:paraId="53E9D103" w14:textId="77777777" w:rsidTr="004808D9">
        <w:tc>
          <w:tcPr>
            <w:tcW w:w="2301" w:type="pct"/>
            <w:hideMark/>
          </w:tcPr>
          <w:p w14:paraId="7915BA47"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Name of signatory</w:t>
            </w:r>
          </w:p>
        </w:tc>
        <w:tc>
          <w:tcPr>
            <w:tcW w:w="2699" w:type="pct"/>
            <w:gridSpan w:val="2"/>
            <w:tcBorders>
              <w:top w:val="single" w:sz="4" w:space="0" w:color="7030A0"/>
              <w:left w:val="nil"/>
              <w:bottom w:val="single" w:sz="4" w:space="0" w:color="7030A0"/>
              <w:right w:val="nil"/>
            </w:tcBorders>
          </w:tcPr>
          <w:p w14:paraId="51981EFE" w14:textId="77777777" w:rsidR="00CA6FD3" w:rsidRPr="00DC34D2" w:rsidRDefault="00CA6FD3" w:rsidP="004808D9">
            <w:pPr>
              <w:spacing w:line="360" w:lineRule="auto"/>
              <w:rPr>
                <w:rFonts w:ascii="Arial" w:hAnsi="Arial" w:cs="Arial"/>
                <w:sz w:val="20"/>
                <w:szCs w:val="20"/>
              </w:rPr>
            </w:pPr>
          </w:p>
        </w:tc>
      </w:tr>
      <w:tr w:rsidR="00CA6FD3" w14:paraId="2FCFB69A" w14:textId="77777777" w:rsidTr="004808D9">
        <w:tc>
          <w:tcPr>
            <w:tcW w:w="2301" w:type="pct"/>
            <w:hideMark/>
          </w:tcPr>
          <w:p w14:paraId="4C0438A8" w14:textId="77777777" w:rsidR="00CA6FD3" w:rsidRPr="00DC34D2" w:rsidRDefault="00CA6FD3" w:rsidP="004808D9">
            <w:pPr>
              <w:spacing w:line="360" w:lineRule="auto"/>
              <w:rPr>
                <w:rFonts w:ascii="Arial" w:hAnsi="Arial" w:cs="Arial"/>
                <w:sz w:val="20"/>
                <w:szCs w:val="20"/>
              </w:rPr>
            </w:pPr>
            <w:r w:rsidRPr="00DC34D2">
              <w:rPr>
                <w:rFonts w:ascii="Arial" w:hAnsi="Arial" w:cs="Arial"/>
                <w:sz w:val="20"/>
                <w:szCs w:val="20"/>
              </w:rPr>
              <w:t>Role of signatory (e.g. chair/owner)</w:t>
            </w:r>
          </w:p>
        </w:tc>
        <w:tc>
          <w:tcPr>
            <w:tcW w:w="2699" w:type="pct"/>
            <w:gridSpan w:val="2"/>
            <w:tcBorders>
              <w:top w:val="single" w:sz="4" w:space="0" w:color="7030A0"/>
              <w:left w:val="nil"/>
              <w:bottom w:val="single" w:sz="4" w:space="0" w:color="7030A0"/>
              <w:right w:val="nil"/>
            </w:tcBorders>
          </w:tcPr>
          <w:p w14:paraId="58FE5355" w14:textId="77777777" w:rsidR="00CA6FD3" w:rsidRPr="00DC34D2" w:rsidRDefault="00CA6FD3" w:rsidP="004808D9">
            <w:pPr>
              <w:spacing w:line="360" w:lineRule="auto"/>
              <w:rPr>
                <w:rFonts w:ascii="Arial" w:hAnsi="Arial" w:cs="Arial"/>
                <w:sz w:val="20"/>
                <w:szCs w:val="20"/>
              </w:rPr>
            </w:pPr>
          </w:p>
        </w:tc>
      </w:tr>
    </w:tbl>
    <w:p w14:paraId="231752B2" w14:textId="77777777" w:rsidR="00CA6FD3" w:rsidRPr="00085A01" w:rsidRDefault="00CA6FD3" w:rsidP="00CA6375">
      <w:pPr>
        <w:spacing w:before="120" w:after="120" w:line="360" w:lineRule="auto"/>
        <w:rPr>
          <w:rFonts w:ascii="Arial" w:hAnsi="Arial" w:cs="Arial"/>
          <w:sz w:val="22"/>
          <w:szCs w:val="22"/>
        </w:rPr>
      </w:pPr>
    </w:p>
    <w:sectPr w:rsidR="00CA6FD3" w:rsidRPr="00085A01"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2964" w14:textId="77777777" w:rsidR="00D85544" w:rsidRDefault="00D85544" w:rsidP="003C7A9F">
      <w:r>
        <w:separator/>
      </w:r>
    </w:p>
  </w:endnote>
  <w:endnote w:type="continuationSeparator" w:id="0">
    <w:p w14:paraId="36227E04" w14:textId="77777777" w:rsidR="00D85544" w:rsidRDefault="00D8554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8C66" w14:textId="77777777" w:rsidR="00D85544" w:rsidRDefault="00D85544" w:rsidP="003C7A9F">
      <w:r>
        <w:separator/>
      </w:r>
    </w:p>
  </w:footnote>
  <w:footnote w:type="continuationSeparator" w:id="0">
    <w:p w14:paraId="286D360E" w14:textId="77777777" w:rsidR="00D85544" w:rsidRDefault="00D8554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9143769">
    <w:abstractNumId w:val="60"/>
  </w:num>
  <w:num w:numId="2" w16cid:durableId="406221695">
    <w:abstractNumId w:val="59"/>
  </w:num>
  <w:num w:numId="3" w16cid:durableId="1116097385">
    <w:abstractNumId w:val="71"/>
  </w:num>
  <w:num w:numId="4" w16cid:durableId="671421558">
    <w:abstractNumId w:val="41"/>
  </w:num>
  <w:num w:numId="5" w16cid:durableId="349573502">
    <w:abstractNumId w:val="34"/>
  </w:num>
  <w:num w:numId="6" w16cid:durableId="792134465">
    <w:abstractNumId w:val="6"/>
  </w:num>
  <w:num w:numId="7" w16cid:durableId="2078043969">
    <w:abstractNumId w:val="50"/>
  </w:num>
  <w:num w:numId="8" w16cid:durableId="1507281900">
    <w:abstractNumId w:val="86"/>
  </w:num>
  <w:num w:numId="9" w16cid:durableId="1928608827">
    <w:abstractNumId w:val="88"/>
  </w:num>
  <w:num w:numId="10" w16cid:durableId="269553006">
    <w:abstractNumId w:val="38"/>
  </w:num>
  <w:num w:numId="11" w16cid:durableId="903611706">
    <w:abstractNumId w:val="18"/>
  </w:num>
  <w:num w:numId="12" w16cid:durableId="1123615981">
    <w:abstractNumId w:val="53"/>
  </w:num>
  <w:num w:numId="13" w16cid:durableId="1614824570">
    <w:abstractNumId w:val="27"/>
  </w:num>
  <w:num w:numId="14" w16cid:durableId="2026973816">
    <w:abstractNumId w:val="10"/>
  </w:num>
  <w:num w:numId="15" w16cid:durableId="1031300454">
    <w:abstractNumId w:val="16"/>
  </w:num>
  <w:num w:numId="16" w16cid:durableId="69079643">
    <w:abstractNumId w:val="20"/>
  </w:num>
  <w:num w:numId="17" w16cid:durableId="1679967218">
    <w:abstractNumId w:val="48"/>
  </w:num>
  <w:num w:numId="18" w16cid:durableId="1409689780">
    <w:abstractNumId w:val="46"/>
  </w:num>
  <w:num w:numId="19" w16cid:durableId="372922211">
    <w:abstractNumId w:val="3"/>
  </w:num>
  <w:num w:numId="20" w16cid:durableId="1911688839">
    <w:abstractNumId w:val="43"/>
  </w:num>
  <w:num w:numId="21" w16cid:durableId="694694027">
    <w:abstractNumId w:val="85"/>
  </w:num>
  <w:num w:numId="22" w16cid:durableId="321156791">
    <w:abstractNumId w:val="13"/>
  </w:num>
  <w:num w:numId="23" w16cid:durableId="1833257089">
    <w:abstractNumId w:val="80"/>
  </w:num>
  <w:num w:numId="24" w16cid:durableId="2044089173">
    <w:abstractNumId w:val="17"/>
  </w:num>
  <w:num w:numId="25" w16cid:durableId="381517276">
    <w:abstractNumId w:val="82"/>
  </w:num>
  <w:num w:numId="26" w16cid:durableId="1236935354">
    <w:abstractNumId w:val="39"/>
  </w:num>
  <w:num w:numId="27" w16cid:durableId="1498108639">
    <w:abstractNumId w:val="44"/>
  </w:num>
  <w:num w:numId="28" w16cid:durableId="905381329">
    <w:abstractNumId w:val="11"/>
  </w:num>
  <w:num w:numId="29" w16cid:durableId="764764310">
    <w:abstractNumId w:val="2"/>
  </w:num>
  <w:num w:numId="30" w16cid:durableId="1763380920">
    <w:abstractNumId w:val="66"/>
  </w:num>
  <w:num w:numId="31" w16cid:durableId="2061519122">
    <w:abstractNumId w:val="51"/>
  </w:num>
  <w:num w:numId="32" w16cid:durableId="1671174207">
    <w:abstractNumId w:val="32"/>
  </w:num>
  <w:num w:numId="33" w16cid:durableId="1443377351">
    <w:abstractNumId w:val="8"/>
  </w:num>
  <w:num w:numId="34" w16cid:durableId="713429223">
    <w:abstractNumId w:val="73"/>
  </w:num>
  <w:num w:numId="35" w16cid:durableId="1822191734">
    <w:abstractNumId w:val="29"/>
  </w:num>
  <w:num w:numId="36" w16cid:durableId="1116675313">
    <w:abstractNumId w:val="35"/>
  </w:num>
  <w:num w:numId="37" w16cid:durableId="334574051">
    <w:abstractNumId w:val="63"/>
  </w:num>
  <w:num w:numId="38" w16cid:durableId="1803620784">
    <w:abstractNumId w:val="1"/>
  </w:num>
  <w:num w:numId="39" w16cid:durableId="1266226945">
    <w:abstractNumId w:val="42"/>
  </w:num>
  <w:num w:numId="40" w16cid:durableId="1775512828">
    <w:abstractNumId w:val="19"/>
  </w:num>
  <w:num w:numId="41" w16cid:durableId="457990148">
    <w:abstractNumId w:val="40"/>
  </w:num>
  <w:num w:numId="42" w16cid:durableId="1494299455">
    <w:abstractNumId w:val="47"/>
  </w:num>
  <w:num w:numId="43" w16cid:durableId="1291519741">
    <w:abstractNumId w:val="68"/>
  </w:num>
  <w:num w:numId="44" w16cid:durableId="1022970847">
    <w:abstractNumId w:val="79"/>
  </w:num>
  <w:num w:numId="45" w16cid:durableId="2115057586">
    <w:abstractNumId w:val="9"/>
  </w:num>
  <w:num w:numId="46" w16cid:durableId="383019790">
    <w:abstractNumId w:val="62"/>
  </w:num>
  <w:num w:numId="47" w16cid:durableId="459760843">
    <w:abstractNumId w:val="56"/>
  </w:num>
  <w:num w:numId="48" w16cid:durableId="348795452">
    <w:abstractNumId w:val="5"/>
  </w:num>
  <w:num w:numId="49" w16cid:durableId="558590701">
    <w:abstractNumId w:val="75"/>
  </w:num>
  <w:num w:numId="50" w16cid:durableId="833446991">
    <w:abstractNumId w:val="78"/>
  </w:num>
  <w:num w:numId="51" w16cid:durableId="1812206616">
    <w:abstractNumId w:val="64"/>
  </w:num>
  <w:num w:numId="52" w16cid:durableId="1858277216">
    <w:abstractNumId w:val="45"/>
  </w:num>
  <w:num w:numId="53" w16cid:durableId="1105810000">
    <w:abstractNumId w:val="69"/>
  </w:num>
  <w:num w:numId="54" w16cid:durableId="1171214957">
    <w:abstractNumId w:val="70"/>
  </w:num>
  <w:num w:numId="55" w16cid:durableId="643512472">
    <w:abstractNumId w:val="76"/>
  </w:num>
  <w:num w:numId="56" w16cid:durableId="1028337550">
    <w:abstractNumId w:val="37"/>
  </w:num>
  <w:num w:numId="57" w16cid:durableId="1045718022">
    <w:abstractNumId w:val="14"/>
  </w:num>
  <w:num w:numId="58" w16cid:durableId="1453400243">
    <w:abstractNumId w:val="57"/>
  </w:num>
  <w:num w:numId="59" w16cid:durableId="716900913">
    <w:abstractNumId w:val="87"/>
  </w:num>
  <w:num w:numId="60" w16cid:durableId="1622111018">
    <w:abstractNumId w:val="22"/>
  </w:num>
  <w:num w:numId="61" w16cid:durableId="1944871814">
    <w:abstractNumId w:val="28"/>
  </w:num>
  <w:num w:numId="62" w16cid:durableId="1506434784">
    <w:abstractNumId w:val="49"/>
  </w:num>
  <w:num w:numId="63" w16cid:durableId="412090450">
    <w:abstractNumId w:val="15"/>
  </w:num>
  <w:num w:numId="64" w16cid:durableId="236063815">
    <w:abstractNumId w:val="0"/>
  </w:num>
  <w:num w:numId="65" w16cid:durableId="872810215">
    <w:abstractNumId w:val="74"/>
  </w:num>
  <w:num w:numId="66" w16cid:durableId="855848082">
    <w:abstractNumId w:val="7"/>
  </w:num>
  <w:num w:numId="67" w16cid:durableId="1347059619">
    <w:abstractNumId w:val="26"/>
  </w:num>
  <w:num w:numId="68" w16cid:durableId="159122932">
    <w:abstractNumId w:val="72"/>
  </w:num>
  <w:num w:numId="69" w16cid:durableId="1772312121">
    <w:abstractNumId w:val="65"/>
  </w:num>
  <w:num w:numId="70" w16cid:durableId="1402941180">
    <w:abstractNumId w:val="55"/>
  </w:num>
  <w:num w:numId="71" w16cid:durableId="1372532097">
    <w:abstractNumId w:val="54"/>
  </w:num>
  <w:num w:numId="72" w16cid:durableId="836460945">
    <w:abstractNumId w:val="12"/>
  </w:num>
  <w:num w:numId="73" w16cid:durableId="328098795">
    <w:abstractNumId w:val="83"/>
  </w:num>
  <w:num w:numId="74" w16cid:durableId="1078095316">
    <w:abstractNumId w:val="36"/>
  </w:num>
  <w:num w:numId="75" w16cid:durableId="671641092">
    <w:abstractNumId w:val="4"/>
  </w:num>
  <w:num w:numId="76" w16cid:durableId="643000570">
    <w:abstractNumId w:val="21"/>
  </w:num>
  <w:num w:numId="77" w16cid:durableId="712343426">
    <w:abstractNumId w:val="23"/>
  </w:num>
  <w:num w:numId="78" w16cid:durableId="253323251">
    <w:abstractNumId w:val="67"/>
  </w:num>
  <w:num w:numId="79" w16cid:durableId="43604210">
    <w:abstractNumId w:val="81"/>
  </w:num>
  <w:num w:numId="80" w16cid:durableId="157044539">
    <w:abstractNumId w:val="84"/>
  </w:num>
  <w:num w:numId="81" w16cid:durableId="1000501665">
    <w:abstractNumId w:val="52"/>
  </w:num>
  <w:num w:numId="82" w16cid:durableId="736316403">
    <w:abstractNumId w:val="30"/>
  </w:num>
  <w:num w:numId="83" w16cid:durableId="1134062884">
    <w:abstractNumId w:val="25"/>
  </w:num>
  <w:num w:numId="84" w16cid:durableId="516385791">
    <w:abstractNumId w:val="89"/>
  </w:num>
  <w:num w:numId="85" w16cid:durableId="718241606">
    <w:abstractNumId w:val="77"/>
  </w:num>
  <w:num w:numId="86" w16cid:durableId="1511791221">
    <w:abstractNumId w:val="24"/>
  </w:num>
  <w:num w:numId="87" w16cid:durableId="1852792498">
    <w:abstractNumId w:val="33"/>
  </w:num>
  <w:num w:numId="88" w16cid:durableId="2121365244">
    <w:abstractNumId w:val="58"/>
  </w:num>
  <w:num w:numId="89" w16cid:durableId="18819209">
    <w:abstractNumId w:val="31"/>
  </w:num>
  <w:num w:numId="90" w16cid:durableId="675113333">
    <w:abstractNumId w:val="61"/>
  </w:num>
  <w:num w:numId="91" w16cid:durableId="83499005">
    <w:abstractNumId w:val="66"/>
  </w:num>
  <w:num w:numId="92" w16cid:durableId="40449217">
    <w:abstractNumId w:val="40"/>
  </w:num>
  <w:num w:numId="93" w16cid:durableId="141704368">
    <w:abstractNumId w:val="51"/>
  </w:num>
  <w:num w:numId="94" w16cid:durableId="745110529">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D7EB9"/>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01"/>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4DFA"/>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483D"/>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397"/>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2E7F"/>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A6FD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544"/>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4</cp:revision>
  <cp:lastPrinted>2018-05-03T18:57:00Z</cp:lastPrinted>
  <dcterms:created xsi:type="dcterms:W3CDTF">2021-09-30T14:18:00Z</dcterms:created>
  <dcterms:modified xsi:type="dcterms:W3CDTF">2025-10-09T13:34:00Z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